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0A" w:rsidRDefault="008502AD" w:rsidP="00F1024C">
      <w:pPr>
        <w:spacing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Rozvrh vyplácania finančnej podpory na realizáciu mobility Erasmus+</w:t>
      </w:r>
    </w:p>
    <w:p w:rsidR="00D83DF8" w:rsidRDefault="00D83DF8" w:rsidP="00F1024C">
      <w:pPr>
        <w:spacing w:line="276" w:lineRule="auto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6D7DA1" w:rsidRDefault="00CE1BCD" w:rsidP="00CE1BCD">
      <w:pPr>
        <w:rPr>
          <w:b/>
          <w:sz w:val="24"/>
          <w:szCs w:val="24"/>
        </w:rPr>
      </w:pPr>
      <w:r w:rsidRPr="00CE1BC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S odvolaním sa na </w:t>
      </w:r>
      <w:r w:rsidRPr="00CE1BCD">
        <w:rPr>
          <w:b/>
          <w:sz w:val="24"/>
          <w:szCs w:val="24"/>
        </w:rPr>
        <w:t>Zmluv</w:t>
      </w:r>
      <w:r>
        <w:rPr>
          <w:b/>
          <w:sz w:val="24"/>
          <w:szCs w:val="24"/>
        </w:rPr>
        <w:t>u</w:t>
      </w:r>
      <w:r w:rsidRPr="00CE1BCD">
        <w:rPr>
          <w:b/>
          <w:sz w:val="24"/>
          <w:szCs w:val="24"/>
        </w:rPr>
        <w:t xml:space="preserve"> o poskytnutí finančnej podpory na </w:t>
      </w:r>
      <w:r w:rsidR="00DE333D" w:rsidRPr="00DE333D">
        <w:rPr>
          <w:b/>
          <w:sz w:val="24"/>
          <w:szCs w:val="24"/>
        </w:rPr>
        <w:t>štúdium, stáž alebo výučbu a školenia</w:t>
      </w:r>
      <w:r w:rsidR="00DE333D">
        <w:rPr>
          <w:sz w:val="24"/>
          <w:szCs w:val="24"/>
        </w:rPr>
        <w:t xml:space="preserve"> (akademický rok </w:t>
      </w:r>
      <w:r w:rsidR="000F1FBC">
        <w:rPr>
          <w:sz w:val="24"/>
          <w:szCs w:val="24"/>
        </w:rPr>
        <w:t>201</w:t>
      </w:r>
      <w:r w:rsidR="001704D9">
        <w:rPr>
          <w:sz w:val="24"/>
          <w:szCs w:val="24"/>
        </w:rPr>
        <w:t>9</w:t>
      </w:r>
      <w:r w:rsidR="000F1FBC">
        <w:rPr>
          <w:sz w:val="24"/>
          <w:szCs w:val="24"/>
        </w:rPr>
        <w:t>/20</w:t>
      </w:r>
      <w:r w:rsidR="001704D9">
        <w:rPr>
          <w:sz w:val="24"/>
          <w:szCs w:val="24"/>
        </w:rPr>
        <w:t>20</w:t>
      </w:r>
      <w:r w:rsidR="00DE333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definujeme </w:t>
      </w:r>
      <w:r w:rsidRPr="00CE1BCD">
        <w:rPr>
          <w:b/>
          <w:sz w:val="24"/>
          <w:szCs w:val="24"/>
        </w:rPr>
        <w:t>grant</w:t>
      </w:r>
      <w:r>
        <w:rPr>
          <w:sz w:val="24"/>
          <w:szCs w:val="24"/>
        </w:rPr>
        <w:t xml:space="preserve"> </w:t>
      </w:r>
      <w:r w:rsidRPr="00AD708A">
        <w:rPr>
          <w:b/>
          <w:sz w:val="24"/>
          <w:szCs w:val="24"/>
        </w:rPr>
        <w:t>Erasmus+ ako „finančnú podporu</w:t>
      </w:r>
      <w:r>
        <w:rPr>
          <w:sz w:val="24"/>
          <w:szCs w:val="24"/>
        </w:rPr>
        <w:t xml:space="preserve">“. </w:t>
      </w:r>
      <w:r w:rsidR="006D7DA1">
        <w:rPr>
          <w:sz w:val="24"/>
          <w:szCs w:val="24"/>
        </w:rPr>
        <w:t xml:space="preserve">Finančnou podporou sa myslí </w:t>
      </w:r>
      <w:r w:rsidR="006D7DA1" w:rsidRPr="006D7DA1">
        <w:rPr>
          <w:b/>
          <w:sz w:val="24"/>
          <w:szCs w:val="24"/>
        </w:rPr>
        <w:t>finančný príspevok</w:t>
      </w:r>
      <w:r w:rsidR="006D7DA1">
        <w:rPr>
          <w:sz w:val="24"/>
          <w:szCs w:val="24"/>
        </w:rPr>
        <w:t xml:space="preserve"> na mobilitu a tento pojem v sebe automaticky </w:t>
      </w:r>
      <w:r w:rsidR="006D7DA1" w:rsidRPr="006D7DA1">
        <w:rPr>
          <w:b/>
          <w:sz w:val="24"/>
          <w:szCs w:val="24"/>
        </w:rPr>
        <w:t xml:space="preserve">nezahŕňa </w:t>
      </w:r>
      <w:proofErr w:type="spellStart"/>
      <w:r w:rsidR="006D7DA1" w:rsidRPr="006D7DA1">
        <w:rPr>
          <w:b/>
          <w:sz w:val="24"/>
          <w:szCs w:val="24"/>
        </w:rPr>
        <w:t>nárokovateľnosť</w:t>
      </w:r>
      <w:proofErr w:type="spellEnd"/>
      <w:r w:rsidR="006D7DA1" w:rsidRPr="006D7DA1">
        <w:rPr>
          <w:b/>
          <w:sz w:val="24"/>
          <w:szCs w:val="24"/>
        </w:rPr>
        <w:t xml:space="preserve"> </w:t>
      </w:r>
      <w:r w:rsidR="006D7DA1" w:rsidRPr="00FE29D9">
        <w:rPr>
          <w:sz w:val="24"/>
          <w:szCs w:val="24"/>
        </w:rPr>
        <w:t>si na pokrytie</w:t>
      </w:r>
      <w:r w:rsidR="006D7DA1" w:rsidRPr="006D7DA1">
        <w:rPr>
          <w:b/>
          <w:sz w:val="24"/>
          <w:szCs w:val="24"/>
        </w:rPr>
        <w:t xml:space="preserve"> všetkých výdavkov </w:t>
      </w:r>
      <w:r w:rsidR="006D7DA1" w:rsidRPr="00FE29D9">
        <w:rPr>
          <w:sz w:val="24"/>
          <w:szCs w:val="24"/>
        </w:rPr>
        <w:t>na mobilitu.</w:t>
      </w:r>
      <w:r w:rsidR="006D7DA1">
        <w:rPr>
          <w:b/>
          <w:sz w:val="24"/>
          <w:szCs w:val="24"/>
        </w:rPr>
        <w:t xml:space="preserve"> </w:t>
      </w:r>
      <w:r w:rsidR="00FE29D9">
        <w:rPr>
          <w:b/>
          <w:sz w:val="24"/>
          <w:szCs w:val="24"/>
        </w:rPr>
        <w:t>Je dôležité, aby bol k</w:t>
      </w:r>
      <w:r w:rsidR="006D7DA1">
        <w:rPr>
          <w:b/>
          <w:sz w:val="24"/>
          <w:szCs w:val="24"/>
        </w:rPr>
        <w:t xml:space="preserve">aždý účastník mobility oboznámený s tým, že musí mať </w:t>
      </w:r>
      <w:r w:rsidR="00FE29D9">
        <w:rPr>
          <w:b/>
          <w:sz w:val="24"/>
          <w:szCs w:val="24"/>
        </w:rPr>
        <w:t xml:space="preserve">k dispozícii </w:t>
      </w:r>
      <w:r w:rsidR="006D7DA1">
        <w:rPr>
          <w:b/>
          <w:sz w:val="24"/>
          <w:szCs w:val="24"/>
        </w:rPr>
        <w:t xml:space="preserve">finančné krytie na mobilitu </w:t>
      </w:r>
      <w:r w:rsidR="00FE29D9">
        <w:rPr>
          <w:b/>
          <w:sz w:val="24"/>
          <w:szCs w:val="24"/>
        </w:rPr>
        <w:t xml:space="preserve">z iných ako univerzitných zdrojov </w:t>
      </w:r>
      <w:r w:rsidR="006D7DA1">
        <w:rPr>
          <w:b/>
          <w:sz w:val="24"/>
          <w:szCs w:val="24"/>
        </w:rPr>
        <w:t>tak, aby sa počas mobility nedostal do finančnej núdze.</w:t>
      </w:r>
    </w:p>
    <w:p w:rsidR="006D7DA1" w:rsidRDefault="006D7DA1" w:rsidP="00CE1BCD">
      <w:pPr>
        <w:rPr>
          <w:b/>
          <w:sz w:val="24"/>
          <w:szCs w:val="24"/>
        </w:rPr>
      </w:pPr>
    </w:p>
    <w:p w:rsidR="00A27072" w:rsidRDefault="00A27072" w:rsidP="00CE1BCD">
      <w:pPr>
        <w:rPr>
          <w:sz w:val="24"/>
          <w:szCs w:val="24"/>
        </w:rPr>
      </w:pPr>
      <w:r>
        <w:rPr>
          <w:sz w:val="24"/>
          <w:szCs w:val="24"/>
        </w:rPr>
        <w:t>Zmluva o poskytnutí finančnej podpory na štúdium</w:t>
      </w:r>
      <w:r w:rsidR="00ED6FC7">
        <w:rPr>
          <w:sz w:val="24"/>
          <w:szCs w:val="24"/>
        </w:rPr>
        <w:t>, stáž alebo výučbu a školenia</w:t>
      </w:r>
      <w:r>
        <w:rPr>
          <w:sz w:val="24"/>
          <w:szCs w:val="24"/>
        </w:rPr>
        <w:t xml:space="preserve"> (akademický r</w:t>
      </w:r>
      <w:r w:rsidR="0009079E">
        <w:rPr>
          <w:sz w:val="24"/>
          <w:szCs w:val="24"/>
        </w:rPr>
        <w:t>o</w:t>
      </w:r>
      <w:r>
        <w:rPr>
          <w:sz w:val="24"/>
          <w:szCs w:val="24"/>
        </w:rPr>
        <w:t xml:space="preserve">k </w:t>
      </w:r>
      <w:r w:rsidR="000F1FBC">
        <w:rPr>
          <w:sz w:val="24"/>
          <w:szCs w:val="24"/>
        </w:rPr>
        <w:t>201</w:t>
      </w:r>
      <w:r w:rsidR="001704D9">
        <w:rPr>
          <w:sz w:val="24"/>
          <w:szCs w:val="24"/>
        </w:rPr>
        <w:t>9</w:t>
      </w:r>
      <w:r w:rsidR="000F1FBC">
        <w:rPr>
          <w:sz w:val="24"/>
          <w:szCs w:val="24"/>
        </w:rPr>
        <w:t>/20</w:t>
      </w:r>
      <w:r w:rsidR="001704D9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)</w:t>
      </w:r>
      <w:r w:rsidR="008502AD">
        <w:rPr>
          <w:sz w:val="24"/>
          <w:szCs w:val="24"/>
        </w:rPr>
        <w:t xml:space="preserve">, článok 4 – Podmienky platby ďalej </w:t>
      </w:r>
      <w:r>
        <w:rPr>
          <w:sz w:val="24"/>
          <w:szCs w:val="24"/>
        </w:rPr>
        <w:t>uvádza:</w:t>
      </w:r>
    </w:p>
    <w:p w:rsidR="00A27072" w:rsidRDefault="00A27072" w:rsidP="00CE1BCD">
      <w:pPr>
        <w:rPr>
          <w:sz w:val="24"/>
          <w:szCs w:val="24"/>
        </w:rPr>
      </w:pPr>
    </w:p>
    <w:p w:rsidR="000F1FBC" w:rsidRPr="002C0686" w:rsidRDefault="000F1FBC" w:rsidP="000F1FBC">
      <w:pPr>
        <w:pBdr>
          <w:bottom w:val="single" w:sz="6" w:space="1" w:color="auto"/>
        </w:pBdr>
        <w:ind w:left="567" w:hanging="567"/>
        <w:rPr>
          <w:b/>
          <w:sz w:val="24"/>
          <w:szCs w:val="24"/>
        </w:rPr>
      </w:pPr>
      <w:r w:rsidRPr="002C0686">
        <w:rPr>
          <w:b/>
          <w:sz w:val="24"/>
          <w:szCs w:val="24"/>
        </w:rPr>
        <w:t>ČLÁNOK 4 – PODMIENKY PLATBY</w:t>
      </w:r>
    </w:p>
    <w:p w:rsidR="000F1FBC" w:rsidRPr="002C0686" w:rsidRDefault="000F1FBC" w:rsidP="000F1FBC">
      <w:pPr>
        <w:ind w:left="567" w:hanging="567"/>
        <w:jc w:val="both"/>
        <w:rPr>
          <w:b/>
          <w:noProof/>
          <w:sz w:val="24"/>
          <w:szCs w:val="24"/>
        </w:rPr>
      </w:pPr>
      <w:r w:rsidRPr="002C0686">
        <w:rPr>
          <w:b/>
          <w:sz w:val="24"/>
          <w:szCs w:val="24"/>
        </w:rPr>
        <w:t>4.1</w:t>
      </w:r>
      <w:r w:rsidRPr="002C0686">
        <w:rPr>
          <w:b/>
          <w:sz w:val="24"/>
          <w:szCs w:val="24"/>
        </w:rPr>
        <w:tab/>
      </w:r>
      <w:r w:rsidRPr="002C0686">
        <w:rPr>
          <w:b/>
          <w:noProof/>
          <w:sz w:val="24"/>
          <w:szCs w:val="24"/>
        </w:rPr>
        <w:t xml:space="preserve">Do 30 kalendárnych dní </w:t>
      </w:r>
      <w:r w:rsidRPr="002C0686">
        <w:rPr>
          <w:b/>
          <w:sz w:val="24"/>
          <w:szCs w:val="24"/>
        </w:rPr>
        <w:t xml:space="preserve">od podpísania zmluvy poslednou zo zmluvných strán </w:t>
      </w:r>
      <w:r w:rsidRPr="002C0686">
        <w:rPr>
          <w:b/>
          <w:noProof/>
          <w:sz w:val="24"/>
          <w:szCs w:val="24"/>
        </w:rPr>
        <w:t xml:space="preserve">a najneskôr do začiatku mobility bude účastníkovi mobility poskytnutá splátka vo výške </w:t>
      </w:r>
      <w:r w:rsidRPr="002C0686">
        <w:rPr>
          <w:b/>
          <w:sz w:val="24"/>
          <w:szCs w:val="24"/>
        </w:rPr>
        <w:t>[</w:t>
      </w:r>
      <w:r w:rsidRPr="002C0686">
        <w:rPr>
          <w:b/>
          <w:color w:val="767171"/>
          <w:sz w:val="24"/>
          <w:szCs w:val="24"/>
        </w:rPr>
        <w:t>100%</w:t>
      </w:r>
      <w:r w:rsidRPr="002C0686">
        <w:rPr>
          <w:b/>
          <w:sz w:val="24"/>
          <w:szCs w:val="24"/>
        </w:rPr>
        <w:t>]</w:t>
      </w:r>
      <w:r w:rsidRPr="002C0686">
        <w:rPr>
          <w:b/>
          <w:noProof/>
          <w:sz w:val="24"/>
          <w:szCs w:val="24"/>
        </w:rPr>
        <w:t xml:space="preserve"> zo sumy  stanovenej v článku 3. </w:t>
      </w:r>
      <w:r w:rsidRPr="002C0686">
        <w:rPr>
          <w:b/>
          <w:sz w:val="24"/>
          <w:szCs w:val="24"/>
        </w:rPr>
        <w:t xml:space="preserve">V prípade, že účastník neposkytne podporné dokumenty načas podľa Rozvrhu vysielajúcej inštitúcie, môže byť výnimočne akceptovaná neskoršia platba </w:t>
      </w:r>
      <w:proofErr w:type="spellStart"/>
      <w:r w:rsidRPr="002C0686">
        <w:rPr>
          <w:b/>
          <w:sz w:val="24"/>
          <w:szCs w:val="24"/>
        </w:rPr>
        <w:t>predfinancovania</w:t>
      </w:r>
      <w:proofErr w:type="spellEnd"/>
      <w:r w:rsidRPr="002C0686">
        <w:rPr>
          <w:b/>
          <w:sz w:val="24"/>
          <w:szCs w:val="24"/>
        </w:rPr>
        <w:t>.</w:t>
      </w:r>
    </w:p>
    <w:p w:rsidR="00D350B7" w:rsidRDefault="00D350B7" w:rsidP="00CE1BCD">
      <w:pPr>
        <w:rPr>
          <w:sz w:val="24"/>
          <w:szCs w:val="24"/>
        </w:rPr>
      </w:pPr>
    </w:p>
    <w:p w:rsidR="00A27072" w:rsidRDefault="00A27072" w:rsidP="00CE1BCD">
      <w:pPr>
        <w:rPr>
          <w:sz w:val="24"/>
          <w:szCs w:val="24"/>
        </w:rPr>
      </w:pPr>
      <w:r>
        <w:rPr>
          <w:sz w:val="24"/>
          <w:szCs w:val="24"/>
        </w:rPr>
        <w:t xml:space="preserve">Poslednou zo zmluvných strán sa myslí Inštitucionálny koordinátor/koordinátorka. Zmluvy sa v inštitucionálnej kancelárii zoraďujú podľa dátumu ich prijatia a inštitucionálna </w:t>
      </w:r>
      <w:r w:rsidR="002C0686">
        <w:rPr>
          <w:sz w:val="24"/>
          <w:szCs w:val="24"/>
        </w:rPr>
        <w:t>kancelária</w:t>
      </w:r>
      <w:r w:rsidR="00EF4705">
        <w:rPr>
          <w:sz w:val="24"/>
          <w:szCs w:val="24"/>
        </w:rPr>
        <w:t xml:space="preserve"> má na ich vybavenie 30 dní vrátane kontroly zmluvy, nahratia údajov do MOBILITY TOOL, pričom študent</w:t>
      </w:r>
      <w:r w:rsidR="00DE333D">
        <w:rPr>
          <w:sz w:val="24"/>
          <w:szCs w:val="24"/>
        </w:rPr>
        <w:t xml:space="preserve"> aj stážista</w:t>
      </w:r>
      <w:r w:rsidR="00EF4705">
        <w:rPr>
          <w:sz w:val="24"/>
          <w:szCs w:val="24"/>
        </w:rPr>
        <w:t xml:space="preserve"> už mus</w:t>
      </w:r>
      <w:r w:rsidR="00DE333D">
        <w:rPr>
          <w:sz w:val="24"/>
          <w:szCs w:val="24"/>
        </w:rPr>
        <w:t>ia</w:t>
      </w:r>
      <w:r w:rsidR="00EF4705">
        <w:rPr>
          <w:sz w:val="24"/>
          <w:szCs w:val="24"/>
        </w:rPr>
        <w:t xml:space="preserve"> byť vopred nahrat</w:t>
      </w:r>
      <w:r w:rsidR="00DE333D">
        <w:rPr>
          <w:sz w:val="24"/>
          <w:szCs w:val="24"/>
        </w:rPr>
        <w:t>í</w:t>
      </w:r>
      <w:r w:rsidR="0009079E">
        <w:rPr>
          <w:sz w:val="24"/>
          <w:szCs w:val="24"/>
        </w:rPr>
        <w:t xml:space="preserve"> do OLS kvôli jazykovej licencii</w:t>
      </w:r>
      <w:r w:rsidR="008D318D">
        <w:rPr>
          <w:sz w:val="24"/>
          <w:szCs w:val="24"/>
        </w:rPr>
        <w:t xml:space="preserve"> (jazykovému testovaniu a jazykovým kurzom)</w:t>
      </w:r>
      <w:r w:rsidR="00EF4705">
        <w:rPr>
          <w:sz w:val="24"/>
          <w:szCs w:val="24"/>
        </w:rPr>
        <w:t xml:space="preserve">, ďalej vrátane vystavenia interného dokladu na vyplatenie finančného príspevku a vrátane kontroly a spracovania interného dokladu na ekonomickom oddelení UMB. </w:t>
      </w:r>
    </w:p>
    <w:p w:rsidR="00EF4705" w:rsidRDefault="00EF4705" w:rsidP="00CE1BCD">
      <w:pPr>
        <w:rPr>
          <w:sz w:val="24"/>
          <w:szCs w:val="24"/>
        </w:rPr>
      </w:pPr>
    </w:p>
    <w:p w:rsidR="00EF4705" w:rsidRDefault="00EF4705" w:rsidP="00CE1BCD">
      <w:pPr>
        <w:rPr>
          <w:sz w:val="24"/>
          <w:szCs w:val="24"/>
        </w:rPr>
      </w:pPr>
      <w:r>
        <w:rPr>
          <w:sz w:val="24"/>
          <w:szCs w:val="24"/>
        </w:rPr>
        <w:t xml:space="preserve">Z tohto dôvodu je nevyhnutné uvedomiť si </w:t>
      </w:r>
      <w:r w:rsidRPr="008D318D">
        <w:rPr>
          <w:b/>
          <w:sz w:val="24"/>
          <w:szCs w:val="24"/>
        </w:rPr>
        <w:t xml:space="preserve">dôležitosť dodávania správnych podkladov k finančnej </w:t>
      </w:r>
      <w:r w:rsidR="0009079E" w:rsidRPr="008D318D">
        <w:rPr>
          <w:b/>
          <w:sz w:val="24"/>
          <w:szCs w:val="24"/>
        </w:rPr>
        <w:t>zmluve, aj správnu finančnú zmluvu</w:t>
      </w:r>
      <w:r w:rsidR="0009079E">
        <w:rPr>
          <w:sz w:val="24"/>
          <w:szCs w:val="24"/>
        </w:rPr>
        <w:t>,</w:t>
      </w:r>
      <w:r>
        <w:rPr>
          <w:sz w:val="24"/>
          <w:szCs w:val="24"/>
        </w:rPr>
        <w:t xml:space="preserve"> nakoľko každá oprava zmluvy a jej vrátenie naspäť na fakultu predstavuje ďalšie oddialenie vyplatenia finančného príspevku na mobilitu. </w:t>
      </w:r>
    </w:p>
    <w:p w:rsidR="00EF4705" w:rsidRDefault="00EF4705" w:rsidP="00CE1BCD">
      <w:pPr>
        <w:rPr>
          <w:sz w:val="24"/>
          <w:szCs w:val="24"/>
        </w:rPr>
      </w:pPr>
    </w:p>
    <w:p w:rsidR="00A27072" w:rsidRDefault="00EF4705" w:rsidP="00CE1BCD">
      <w:pPr>
        <w:rPr>
          <w:sz w:val="24"/>
          <w:szCs w:val="24"/>
        </w:rPr>
      </w:pPr>
      <w:r>
        <w:rPr>
          <w:sz w:val="24"/>
          <w:szCs w:val="24"/>
        </w:rPr>
        <w:t xml:space="preserve">Vyžaduje sa, aby každý účastník mobility bol o týchto skutočnostiach </w:t>
      </w:r>
      <w:r w:rsidR="008D318D">
        <w:rPr>
          <w:sz w:val="24"/>
          <w:szCs w:val="24"/>
        </w:rPr>
        <w:t>informovaný</w:t>
      </w:r>
      <w:r w:rsidR="002D00AE">
        <w:rPr>
          <w:sz w:val="24"/>
          <w:szCs w:val="24"/>
        </w:rPr>
        <w:t xml:space="preserve"> svojím fakultným administrátorom – kontaktným bodom pre program Erasmus+</w:t>
      </w:r>
      <w:r>
        <w:rPr>
          <w:sz w:val="24"/>
          <w:szCs w:val="24"/>
        </w:rPr>
        <w:t>,</w:t>
      </w:r>
      <w:r w:rsidR="002D00AE">
        <w:rPr>
          <w:sz w:val="24"/>
          <w:szCs w:val="24"/>
        </w:rPr>
        <w:t xml:space="preserve"> prípadne fakultným koordinátorom. J</w:t>
      </w:r>
      <w:r>
        <w:rPr>
          <w:sz w:val="24"/>
          <w:szCs w:val="24"/>
        </w:rPr>
        <w:t>e dôležité, aby tomu prispôsobil svoje finančné zabezpečenie pred mobilitou a následne, aby si každá fakulta zariadila koordináciu programu takým spôsobom, aby k vybaveniu mobility z </w:t>
      </w:r>
      <w:r w:rsidR="00814A7A">
        <w:rPr>
          <w:sz w:val="24"/>
          <w:szCs w:val="24"/>
        </w:rPr>
        <w:t>ich</w:t>
      </w:r>
      <w:r>
        <w:rPr>
          <w:sz w:val="24"/>
          <w:szCs w:val="24"/>
        </w:rPr>
        <w:t xml:space="preserve"> strany došlo v dostatočnom predstihu berúc do úvahy ďalšie kroky, ktoré vedú k vyplateniu príspevku v inštitucionálnej kancelárii programu Erasmus+.</w:t>
      </w:r>
    </w:p>
    <w:p w:rsidR="00A27072" w:rsidRDefault="00A27072" w:rsidP="00CE1BCD">
      <w:pPr>
        <w:rPr>
          <w:sz w:val="24"/>
          <w:szCs w:val="24"/>
        </w:rPr>
      </w:pPr>
    </w:p>
    <w:p w:rsidR="002D00AE" w:rsidRDefault="002D00AE" w:rsidP="00CE1BCD">
      <w:pPr>
        <w:rPr>
          <w:sz w:val="24"/>
          <w:szCs w:val="24"/>
        </w:rPr>
      </w:pPr>
      <w:r>
        <w:rPr>
          <w:sz w:val="24"/>
          <w:szCs w:val="24"/>
        </w:rPr>
        <w:t>V prípade otázok je možné riešenie ad hoc na základe dohody inštitucionálnej k</w:t>
      </w:r>
      <w:r w:rsidR="00DE333D">
        <w:rPr>
          <w:sz w:val="24"/>
          <w:szCs w:val="24"/>
        </w:rPr>
        <w:t xml:space="preserve">ancelárie </w:t>
      </w:r>
      <w:r>
        <w:rPr>
          <w:sz w:val="24"/>
          <w:szCs w:val="24"/>
        </w:rPr>
        <w:t>s fakultným koordinátorom, alebo fakultným administrátorom.</w:t>
      </w:r>
    </w:p>
    <w:p w:rsidR="008502AD" w:rsidRDefault="008502AD" w:rsidP="008502AD"/>
    <w:p w:rsidR="008502AD" w:rsidRPr="00946E9D" w:rsidRDefault="008502AD" w:rsidP="008502AD">
      <w:pPr>
        <w:rPr>
          <w:rFonts w:asciiTheme="minorHAnsi" w:eastAsiaTheme="minorEastAsia" w:hAnsiTheme="minorHAnsi"/>
          <w:noProof/>
          <w:color w:val="1F497D" w:themeColor="text2"/>
          <w:lang w:eastAsia="sk-SK"/>
        </w:rPr>
      </w:pPr>
      <w:r w:rsidRPr="00946E9D">
        <w:rPr>
          <w:rFonts w:asciiTheme="minorHAnsi" w:eastAsiaTheme="minorEastAsia" w:hAnsiTheme="minorHAnsi"/>
          <w:noProof/>
          <w:color w:val="1F497D" w:themeColor="text2"/>
          <w:lang w:eastAsia="sk-SK"/>
        </w:rPr>
        <w:t>----------------------------------------------------------------------------------</w:t>
      </w:r>
    </w:p>
    <w:p w:rsidR="008502AD" w:rsidRDefault="008502AD" w:rsidP="008502AD">
      <w:pPr>
        <w:rPr>
          <w:rFonts w:eastAsiaTheme="minorEastAsia"/>
          <w:noProof/>
          <w:lang w:eastAsia="sk-SK"/>
        </w:rPr>
      </w:pPr>
      <w:r>
        <w:rPr>
          <w:rFonts w:eastAsiaTheme="minorEastAsia"/>
          <w:noProof/>
          <w:color w:val="0070C0"/>
          <w:lang w:eastAsia="sk-SK"/>
        </w:rPr>
        <w:drawing>
          <wp:inline distT="0" distB="0" distL="0" distR="0" wp14:anchorId="2A04D4D6" wp14:editId="1665EE63">
            <wp:extent cx="1438275" cy="390525"/>
            <wp:effectExtent l="0" t="0" r="9525" b="9525"/>
            <wp:docPr id="4" name="Obrázok 4" descr="cid:image001.jpg@01CF36CE.0347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36CE.034797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AD" w:rsidRDefault="008502AD" w:rsidP="008502AD">
      <w:pPr>
        <w:rPr>
          <w:rFonts w:eastAsiaTheme="minorEastAsia"/>
          <w:noProof/>
          <w:lang w:eastAsia="sk-SK"/>
        </w:rPr>
      </w:pPr>
      <w:r>
        <w:rPr>
          <w:rFonts w:eastAsiaTheme="minorEastAsia"/>
          <w:noProof/>
          <w:lang w:eastAsia="sk-SK"/>
        </w:rPr>
        <w:t>Inštitucionálna kancelária mobilít študentov a zamestnancov KA1</w:t>
      </w:r>
    </w:p>
    <w:p w:rsidR="008502AD" w:rsidRDefault="008502AD" w:rsidP="008502AD">
      <w:pPr>
        <w:rPr>
          <w:rFonts w:eastAsiaTheme="minorEastAsia"/>
          <w:noProof/>
          <w:lang w:eastAsia="sk-SK"/>
        </w:rPr>
      </w:pPr>
      <w:r>
        <w:rPr>
          <w:rFonts w:eastAsiaTheme="minorEastAsia"/>
          <w:noProof/>
          <w:lang w:eastAsia="sk-SK"/>
        </w:rPr>
        <w:t>Univerzita Mateja Bela v Banskej Bystrici</w:t>
      </w:r>
    </w:p>
    <w:p w:rsidR="008502AD" w:rsidRDefault="008502AD" w:rsidP="008502AD">
      <w:pPr>
        <w:rPr>
          <w:rFonts w:eastAsiaTheme="minorEastAsia"/>
          <w:noProof/>
          <w:lang w:eastAsia="sk-SK"/>
        </w:rPr>
      </w:pPr>
      <w:r>
        <w:rPr>
          <w:rFonts w:eastAsiaTheme="minorEastAsia"/>
          <w:noProof/>
          <w:lang w:eastAsia="sk-SK"/>
        </w:rPr>
        <w:t>Národná 12</w:t>
      </w:r>
    </w:p>
    <w:p w:rsidR="008D318D" w:rsidRDefault="008D318D" w:rsidP="008502AD">
      <w:pPr>
        <w:rPr>
          <w:rFonts w:eastAsiaTheme="minorEastAsia"/>
          <w:noProof/>
          <w:lang w:eastAsia="sk-SK"/>
        </w:rPr>
      </w:pPr>
      <w:r>
        <w:rPr>
          <w:rFonts w:eastAsiaTheme="minorEastAsia"/>
          <w:noProof/>
          <w:lang w:eastAsia="sk-SK"/>
        </w:rPr>
        <w:t>974 0</w:t>
      </w:r>
      <w:r w:rsidR="00D350B7">
        <w:rPr>
          <w:rFonts w:eastAsiaTheme="minorEastAsia"/>
          <w:noProof/>
          <w:lang w:eastAsia="sk-SK"/>
        </w:rPr>
        <w:t>1</w:t>
      </w:r>
      <w:r>
        <w:rPr>
          <w:rFonts w:eastAsiaTheme="minorEastAsia"/>
          <w:noProof/>
          <w:lang w:eastAsia="sk-SK"/>
        </w:rPr>
        <w:t xml:space="preserve"> Banská Bystrica</w:t>
      </w:r>
    </w:p>
    <w:sectPr w:rsidR="008D318D" w:rsidSect="00CE1BC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02" w:rsidRDefault="00280202" w:rsidP="00F1024C">
      <w:r>
        <w:separator/>
      </w:r>
    </w:p>
  </w:endnote>
  <w:endnote w:type="continuationSeparator" w:id="0">
    <w:p w:rsidR="00280202" w:rsidRDefault="00280202" w:rsidP="00F1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02" w:rsidRDefault="00280202" w:rsidP="00F1024C">
      <w:r>
        <w:separator/>
      </w:r>
    </w:p>
  </w:footnote>
  <w:footnote w:type="continuationSeparator" w:id="0">
    <w:p w:rsidR="00280202" w:rsidRDefault="00280202" w:rsidP="00F1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7A" w:rsidRDefault="00814A7A" w:rsidP="00814A7A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65AB6F1" wp14:editId="01290C54">
          <wp:simplePos x="0" y="0"/>
          <wp:positionH relativeFrom="margin">
            <wp:posOffset>5504815</wp:posOffset>
          </wp:positionH>
          <wp:positionV relativeFrom="margin">
            <wp:posOffset>-600075</wp:posOffset>
          </wp:positionV>
          <wp:extent cx="1076325" cy="708660"/>
          <wp:effectExtent l="0" t="0" r="9525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07632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ECA9EA7" wp14:editId="5E351F9E">
          <wp:simplePos x="0" y="0"/>
          <wp:positionH relativeFrom="margin">
            <wp:posOffset>0</wp:posOffset>
          </wp:positionH>
          <wp:positionV relativeFrom="margin">
            <wp:posOffset>-495300</wp:posOffset>
          </wp:positionV>
          <wp:extent cx="845820" cy="291465"/>
          <wp:effectExtent l="0" t="0" r="0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-pl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2AD">
      <w:t>ROZVRH vyplácania finančnej podpory na realizáciu mobility</w:t>
    </w:r>
  </w:p>
  <w:p w:rsidR="00814A7A" w:rsidRDefault="00814A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86E"/>
    <w:multiLevelType w:val="hybridMultilevel"/>
    <w:tmpl w:val="12A6F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7641"/>
    <w:multiLevelType w:val="hybridMultilevel"/>
    <w:tmpl w:val="F1E81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52720"/>
    <w:multiLevelType w:val="hybridMultilevel"/>
    <w:tmpl w:val="7CB0D1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5733"/>
    <w:multiLevelType w:val="hybridMultilevel"/>
    <w:tmpl w:val="F6EEB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1"/>
    <w:rsid w:val="00033228"/>
    <w:rsid w:val="00075AA0"/>
    <w:rsid w:val="0009079E"/>
    <w:rsid w:val="00093620"/>
    <w:rsid w:val="000A38AD"/>
    <w:rsid w:val="000B3ED0"/>
    <w:rsid w:val="000C64B5"/>
    <w:rsid w:val="000D6C4A"/>
    <w:rsid w:val="000F1FBC"/>
    <w:rsid w:val="001426FE"/>
    <w:rsid w:val="00151C03"/>
    <w:rsid w:val="001704D9"/>
    <w:rsid w:val="00194B5B"/>
    <w:rsid w:val="001C4B20"/>
    <w:rsid w:val="00200D85"/>
    <w:rsid w:val="00257297"/>
    <w:rsid w:val="00280202"/>
    <w:rsid w:val="002A4576"/>
    <w:rsid w:val="002C0686"/>
    <w:rsid w:val="002D00AE"/>
    <w:rsid w:val="002D20DC"/>
    <w:rsid w:val="002F2D2F"/>
    <w:rsid w:val="0032523C"/>
    <w:rsid w:val="00330B20"/>
    <w:rsid w:val="00354B10"/>
    <w:rsid w:val="003567F5"/>
    <w:rsid w:val="00372E52"/>
    <w:rsid w:val="003A3B05"/>
    <w:rsid w:val="003E02B8"/>
    <w:rsid w:val="0045128B"/>
    <w:rsid w:val="004B27B2"/>
    <w:rsid w:val="00552966"/>
    <w:rsid w:val="005B2AE7"/>
    <w:rsid w:val="005C5DD4"/>
    <w:rsid w:val="005E414A"/>
    <w:rsid w:val="0062100C"/>
    <w:rsid w:val="0065036C"/>
    <w:rsid w:val="00670DB9"/>
    <w:rsid w:val="006D4A17"/>
    <w:rsid w:val="006D7DA1"/>
    <w:rsid w:val="006E62FF"/>
    <w:rsid w:val="00714DC5"/>
    <w:rsid w:val="0072116B"/>
    <w:rsid w:val="00737391"/>
    <w:rsid w:val="00750F77"/>
    <w:rsid w:val="00774D2A"/>
    <w:rsid w:val="00785FF4"/>
    <w:rsid w:val="007A2DFE"/>
    <w:rsid w:val="00807BF2"/>
    <w:rsid w:val="008125DB"/>
    <w:rsid w:val="00814A7A"/>
    <w:rsid w:val="008502AD"/>
    <w:rsid w:val="0086115D"/>
    <w:rsid w:val="00867695"/>
    <w:rsid w:val="008C1B66"/>
    <w:rsid w:val="008D318D"/>
    <w:rsid w:val="008F4CD8"/>
    <w:rsid w:val="00946E9D"/>
    <w:rsid w:val="009B5175"/>
    <w:rsid w:val="009C74FF"/>
    <w:rsid w:val="00A00744"/>
    <w:rsid w:val="00A27072"/>
    <w:rsid w:val="00A950AF"/>
    <w:rsid w:val="00AA557D"/>
    <w:rsid w:val="00AC5745"/>
    <w:rsid w:val="00AD708A"/>
    <w:rsid w:val="00AE3B74"/>
    <w:rsid w:val="00B16156"/>
    <w:rsid w:val="00B53881"/>
    <w:rsid w:val="00B64624"/>
    <w:rsid w:val="00BA4E31"/>
    <w:rsid w:val="00BA6B9F"/>
    <w:rsid w:val="00BB33CB"/>
    <w:rsid w:val="00C0564A"/>
    <w:rsid w:val="00C64379"/>
    <w:rsid w:val="00C75111"/>
    <w:rsid w:val="00C90A0B"/>
    <w:rsid w:val="00C95813"/>
    <w:rsid w:val="00C9786E"/>
    <w:rsid w:val="00CD0D07"/>
    <w:rsid w:val="00CE1BCD"/>
    <w:rsid w:val="00CF0331"/>
    <w:rsid w:val="00D20678"/>
    <w:rsid w:val="00D33EE6"/>
    <w:rsid w:val="00D350B7"/>
    <w:rsid w:val="00D4786A"/>
    <w:rsid w:val="00D8050A"/>
    <w:rsid w:val="00D83DF8"/>
    <w:rsid w:val="00DC336E"/>
    <w:rsid w:val="00DE333D"/>
    <w:rsid w:val="00E36EFE"/>
    <w:rsid w:val="00E42B3B"/>
    <w:rsid w:val="00E4312C"/>
    <w:rsid w:val="00E75830"/>
    <w:rsid w:val="00E9290A"/>
    <w:rsid w:val="00EC13E1"/>
    <w:rsid w:val="00ED5927"/>
    <w:rsid w:val="00ED6FC7"/>
    <w:rsid w:val="00EE766D"/>
    <w:rsid w:val="00EF44D2"/>
    <w:rsid w:val="00EF4705"/>
    <w:rsid w:val="00F1024C"/>
    <w:rsid w:val="00F15A5F"/>
    <w:rsid w:val="00F223CD"/>
    <w:rsid w:val="00F22980"/>
    <w:rsid w:val="00F41D21"/>
    <w:rsid w:val="00F9132E"/>
    <w:rsid w:val="00FE29D9"/>
    <w:rsid w:val="00FE2B02"/>
    <w:rsid w:val="00FF040D"/>
    <w:rsid w:val="00FF0B71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0C16"/>
  <w15:docId w15:val="{4DE4953F-32B9-43DF-9E8F-FCA841CA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2D2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0A0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10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024C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102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024C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ED5927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59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5927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592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7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D0A1-2A4F-40F5-ABC5-282D8C16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Obonova Lucia</dc:creator>
  <cp:lastModifiedBy>Obonova Lucia, Mgr.</cp:lastModifiedBy>
  <cp:revision>2</cp:revision>
  <cp:lastPrinted>2015-02-02T07:15:00Z</cp:lastPrinted>
  <dcterms:created xsi:type="dcterms:W3CDTF">2019-06-21T05:38:00Z</dcterms:created>
  <dcterms:modified xsi:type="dcterms:W3CDTF">2019-06-21T05:38:00Z</dcterms:modified>
</cp:coreProperties>
</file>